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F6" w:rsidRDefault="00E02EF6" w:rsidP="00E02EF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262B33"/>
          <w:sz w:val="36"/>
          <w:szCs w:val="24"/>
          <w:lang w:eastAsia="hu-H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262B33"/>
          <w:sz w:val="36"/>
          <w:szCs w:val="24"/>
          <w:lang w:eastAsia="hu-HU"/>
        </w:rPr>
        <w:t>Didactiek</w:t>
      </w:r>
      <w:proofErr w:type="spellEnd"/>
      <w:r>
        <w:rPr>
          <w:rFonts w:ascii="Times New Roman" w:eastAsia="Times New Roman" w:hAnsi="Times New Roman" w:cs="Times New Roman"/>
          <w:b/>
          <w:color w:val="262B33"/>
          <w:sz w:val="36"/>
          <w:szCs w:val="24"/>
          <w:lang w:eastAsia="hu-HU"/>
        </w:rPr>
        <w:t xml:space="preserve"> NT2</w:t>
      </w:r>
    </w:p>
    <w:p w:rsidR="00745C12" w:rsidRDefault="00745C12" w:rsidP="00E02EF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262B33"/>
          <w:sz w:val="36"/>
          <w:szCs w:val="24"/>
          <w:lang w:eastAsia="hu-HU"/>
        </w:rPr>
      </w:pPr>
      <w:proofErr w:type="spellStart"/>
      <w:r w:rsidRPr="004722EF">
        <w:rPr>
          <w:rFonts w:ascii="Times New Roman" w:eastAsia="Times New Roman" w:hAnsi="Times New Roman" w:cs="Times New Roman"/>
          <w:b/>
          <w:color w:val="262B33"/>
          <w:sz w:val="36"/>
          <w:szCs w:val="24"/>
          <w:lang w:eastAsia="hu-HU"/>
        </w:rPr>
        <w:t>Themalijst</w:t>
      </w:r>
      <w:proofErr w:type="spellEnd"/>
    </w:p>
    <w:p w:rsidR="00E02EF6" w:rsidRPr="004722EF" w:rsidRDefault="00E02EF6" w:rsidP="00E02EF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262B33"/>
          <w:sz w:val="36"/>
          <w:szCs w:val="24"/>
          <w:lang w:eastAsia="hu-HU"/>
        </w:rPr>
      </w:pPr>
    </w:p>
    <w:p w:rsidR="00AA7B73" w:rsidRPr="00DC1206" w:rsidRDefault="00AA7B73" w:rsidP="004722EF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 xml:space="preserve">De </w:t>
      </w:r>
      <w:proofErr w:type="spellStart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context</w:t>
      </w:r>
      <w:proofErr w:type="spellEnd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 xml:space="preserve"> van </w:t>
      </w:r>
      <w:proofErr w:type="spellStart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tweedetaalverwerving</w:t>
      </w:r>
      <w:proofErr w:type="spellEnd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 xml:space="preserve"> en </w:t>
      </w:r>
      <w:proofErr w:type="spellStart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tweedetaalleren</w:t>
      </w:r>
      <w:proofErr w:type="spellEnd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.</w:t>
      </w:r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Ontwikkelingsvolgorde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taalaanbod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en de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factoren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die de T2verwerving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be</w:t>
      </w:r>
      <w:r w:rsidRPr="00DC1206">
        <w:rPr>
          <w:rFonts w:ascii="Calibri" w:eastAsia="Times New Roman" w:hAnsi="Calibri" w:cs="Times New Roman"/>
          <w:color w:val="262B33"/>
          <w:sz w:val="24"/>
          <w:szCs w:val="24"/>
          <w:lang w:eastAsia="hu-HU"/>
        </w:rPr>
        <w:t>ï</w:t>
      </w:r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nvloeden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.</w:t>
      </w:r>
    </w:p>
    <w:p w:rsidR="00AA7B73" w:rsidRPr="00DC1206" w:rsidRDefault="00AA7B73" w:rsidP="004722EF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proofErr w:type="spellStart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Taalonderwijs</w:t>
      </w:r>
      <w:proofErr w:type="spellEnd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 xml:space="preserve"> en </w:t>
      </w:r>
      <w:proofErr w:type="spellStart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didactiek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Benaderingen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r w:rsidR="007D52EF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(</w:t>
      </w:r>
      <w:proofErr w:type="spellStart"/>
      <w:r w:rsidR="007D52EF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historisch</w:t>
      </w:r>
      <w:proofErr w:type="spellEnd"/>
      <w:r w:rsidR="007D52EF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7D52EF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overzicht</w:t>
      </w:r>
      <w:proofErr w:type="spellEnd"/>
      <w:r w:rsidR="007D52EF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van </w:t>
      </w:r>
      <w:proofErr w:type="spellStart"/>
      <w:r w:rsidR="007D52EF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methoden</w:t>
      </w:r>
      <w:proofErr w:type="spellEnd"/>
      <w:r w:rsidR="007D52EF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), </w:t>
      </w:r>
      <w:proofErr w:type="spellStart"/>
      <w:r w:rsidR="007D52EF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competentiegericht</w:t>
      </w:r>
      <w:proofErr w:type="spellEnd"/>
      <w:r w:rsidR="007D52EF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7D52EF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taalonderwijs</w:t>
      </w:r>
      <w:proofErr w:type="spellEnd"/>
      <w:r w:rsidR="007D52EF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</w:t>
      </w:r>
      <w:proofErr w:type="spellStart"/>
      <w:r w:rsidR="007D52EF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didactische</w:t>
      </w:r>
      <w:proofErr w:type="spellEnd"/>
      <w:r w:rsidR="007D52EF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7D52EF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principes</w:t>
      </w:r>
      <w:proofErr w:type="spellEnd"/>
      <w:r w:rsidR="007D52EF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.</w:t>
      </w:r>
    </w:p>
    <w:p w:rsidR="00FB2079" w:rsidRPr="00FB2079" w:rsidRDefault="00925F8D" w:rsidP="00FB2079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proofErr w:type="spellStart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Leermiddelen</w:t>
      </w:r>
      <w:proofErr w:type="spellEnd"/>
      <w:r w:rsidR="007D52EF"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.</w:t>
      </w:r>
      <w:r w:rsidR="007D52EF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5C7E7A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Overwegingen</w:t>
      </w:r>
      <w:proofErr w:type="spellEnd"/>
      <w:r w:rsidR="005C7E7A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5C7E7A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bij</w:t>
      </w:r>
      <w:proofErr w:type="spellEnd"/>
      <w:r w:rsidR="005C7E7A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5C7E7A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het</w:t>
      </w:r>
      <w:proofErr w:type="spellEnd"/>
      <w:r w:rsidR="005C7E7A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5C7E7A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kiezen</w:t>
      </w:r>
      <w:proofErr w:type="spellEnd"/>
      <w:r w:rsidR="005C7E7A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van </w:t>
      </w:r>
      <w:proofErr w:type="spellStart"/>
      <w:r w:rsidR="005C7E7A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leermiddelen</w:t>
      </w:r>
      <w:proofErr w:type="spellEnd"/>
      <w:r w:rsidR="00070FA9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="00070FA9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Vergelijkende</w:t>
      </w:r>
      <w:proofErr w:type="spellEnd"/>
      <w:r w:rsidR="00070FA9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070FA9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analyse</w:t>
      </w:r>
      <w:proofErr w:type="spellEnd"/>
      <w:r w:rsidR="00070FA9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van </w:t>
      </w:r>
      <w:proofErr w:type="spellStart"/>
      <w:r w:rsidR="00070FA9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twee</w:t>
      </w:r>
      <w:proofErr w:type="spellEnd"/>
      <w:r w:rsidR="00070FA9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070FA9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leergangen</w:t>
      </w:r>
      <w:proofErr w:type="spellEnd"/>
      <w:r w:rsidR="00070FA9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.</w:t>
      </w:r>
    </w:p>
    <w:p w:rsidR="00DC1206" w:rsidRPr="00DC1206" w:rsidRDefault="005C7E7A" w:rsidP="004722EF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theorie</w:t>
      </w:r>
      <w:proofErr w:type="spellEnd"/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w</w:t>
      </w:r>
      <w:r w:rsidR="00DC1206"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oordenschat</w:t>
      </w:r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verwerving</w:t>
      </w:r>
      <w:proofErr w:type="spellEnd"/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 xml:space="preserve"> en de </w:t>
      </w:r>
      <w:proofErr w:type="spellStart"/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bijhorende</w:t>
      </w:r>
      <w:proofErr w:type="spellEnd"/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didactische</w:t>
      </w:r>
      <w:proofErr w:type="spellEnd"/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werkvormen</w:t>
      </w:r>
      <w:proofErr w:type="spellEnd"/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oefenvormen</w:t>
      </w:r>
      <w:proofErr w:type="spellEnd"/>
      <w:r w:rsidR="00DC1206"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.</w:t>
      </w:r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De </w:t>
      </w:r>
      <w:proofErr w:type="spellStart"/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functie</w:t>
      </w:r>
      <w:proofErr w:type="spellEnd"/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van </w:t>
      </w:r>
      <w:proofErr w:type="spellStart"/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woordenschat</w:t>
      </w:r>
      <w:proofErr w:type="spellEnd"/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in</w:t>
      </w:r>
      <w:proofErr w:type="spellEnd"/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de </w:t>
      </w:r>
      <w:proofErr w:type="spellStart"/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taalvaardigheden</w:t>
      </w:r>
      <w:proofErr w:type="spellEnd"/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Receptieve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en </w:t>
      </w:r>
      <w:proofErr w:type="spellStart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productieve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woordenschat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Selectiecriteria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voor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woordenlijsten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</w:p>
    <w:p w:rsidR="006D2251" w:rsidRPr="00DC1206" w:rsidRDefault="00FB2079" w:rsidP="004722EF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Grammat</w:t>
      </w:r>
      <w:r w:rsidR="00DC1206"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ica</w:t>
      </w:r>
      <w:proofErr w:type="spellEnd"/>
      <w:r w:rsidR="00DC1206"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.</w:t>
      </w:r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De </w:t>
      </w:r>
      <w:proofErr w:type="spellStart"/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functie</w:t>
      </w:r>
      <w:proofErr w:type="spellEnd"/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van </w:t>
      </w:r>
      <w:proofErr w:type="spellStart"/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grammatica</w:t>
      </w:r>
      <w:proofErr w:type="spellEnd"/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in</w:t>
      </w:r>
      <w:proofErr w:type="spellEnd"/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de </w:t>
      </w:r>
      <w:proofErr w:type="spellStart"/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vaardigheden</w:t>
      </w:r>
      <w:proofErr w:type="spellEnd"/>
      <w:r w:rsidR="00F145D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Het</w:t>
      </w:r>
      <w:proofErr w:type="spellEnd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aanbod</w:t>
      </w:r>
      <w:proofErr w:type="spellEnd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van </w:t>
      </w:r>
      <w:proofErr w:type="spellStart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grammatica</w:t>
      </w:r>
      <w:proofErr w:type="spellEnd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en de </w:t>
      </w:r>
      <w:proofErr w:type="spellStart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bijhorende</w:t>
      </w:r>
      <w:proofErr w:type="spellEnd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didactische</w:t>
      </w:r>
      <w:proofErr w:type="spellEnd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werkvormen</w:t>
      </w:r>
      <w:proofErr w:type="spellEnd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Receptieve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en </w:t>
      </w:r>
      <w:proofErr w:type="spellStart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productieve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beheersing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van de </w:t>
      </w:r>
      <w:proofErr w:type="spellStart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grammatica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Deductieve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en </w:t>
      </w:r>
      <w:proofErr w:type="spellStart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inductieve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benadering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Oefenvormen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en </w:t>
      </w:r>
      <w:proofErr w:type="spellStart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toetsing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.</w:t>
      </w:r>
    </w:p>
    <w:p w:rsidR="006D2251" w:rsidRPr="00DC1206" w:rsidRDefault="00DC1206" w:rsidP="004722EF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proofErr w:type="spellStart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Luistervaardigheid</w:t>
      </w:r>
      <w:proofErr w:type="spellEnd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.</w:t>
      </w:r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Tekstsoorten</w:t>
      </w:r>
      <w:proofErr w:type="spellEnd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</w:t>
      </w:r>
      <w:proofErr w:type="spellStart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a</w:t>
      </w:r>
      <w:r w:rsidR="00676EE7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anbiedingstechnieken</w:t>
      </w:r>
      <w:proofErr w:type="spellEnd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</w:t>
      </w:r>
      <w:proofErr w:type="spellStart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l</w:t>
      </w:r>
      <w:r w:rsidR="00676EE7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uisterstrategi</w:t>
      </w:r>
      <w:r w:rsidR="00FB207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e</w:t>
      </w:r>
      <w:r w:rsidR="00676EE7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ën</w:t>
      </w:r>
      <w:proofErr w:type="spellEnd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</w:t>
      </w:r>
      <w:proofErr w:type="spellStart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oefenvormen</w:t>
      </w:r>
      <w:proofErr w:type="spellEnd"/>
      <w:r w:rsidR="00676EE7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.</w:t>
      </w:r>
      <w:r w:rsidR="00676EE7" w:rsidRP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Didactische</w:t>
      </w:r>
      <w:proofErr w:type="spellEnd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werkvormen</w:t>
      </w:r>
      <w:proofErr w:type="spellEnd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</w:t>
      </w:r>
      <w:proofErr w:type="spellStart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m</w:t>
      </w:r>
      <w:r w:rsidR="00676EE7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aterialen</w:t>
      </w:r>
      <w:proofErr w:type="spellEnd"/>
      <w:r w:rsidR="00676EE7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en </w:t>
      </w:r>
      <w:proofErr w:type="spellStart"/>
      <w:r w:rsidR="00676EE7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toet</w:t>
      </w:r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s</w:t>
      </w:r>
      <w:r w:rsidR="00676EE7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ing</w:t>
      </w:r>
      <w:proofErr w:type="spellEnd"/>
      <w:r w:rsidR="00676EE7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.</w:t>
      </w:r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</w:p>
    <w:p w:rsidR="006D2251" w:rsidRPr="00DC1206" w:rsidRDefault="00925F8D" w:rsidP="004722EF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proofErr w:type="spellStart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Leesvaardigheid</w:t>
      </w:r>
      <w:proofErr w:type="spellEnd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.</w:t>
      </w:r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Tekstsoorten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lees</w:t>
      </w:r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strategi</w:t>
      </w:r>
      <w:r w:rsidR="00FB207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e</w:t>
      </w:r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ën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oefenvormen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Fasenmodel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voor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het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aanbieden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van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een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leerstof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.</w:t>
      </w:r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Didactische</w:t>
      </w:r>
      <w:proofErr w:type="spellEnd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werkvormen</w:t>
      </w:r>
      <w:proofErr w:type="spellEnd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</w:t>
      </w:r>
      <w:proofErr w:type="spellStart"/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m</w:t>
      </w:r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aterialen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en </w:t>
      </w:r>
      <w:proofErr w:type="spellStart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toet</w:t>
      </w:r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s</w:t>
      </w:r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ing</w:t>
      </w:r>
      <w:proofErr w:type="spellEnd"/>
      <w:r w:rsidR="00DC1206"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.</w:t>
      </w:r>
    </w:p>
    <w:p w:rsidR="006D2251" w:rsidRPr="00DC1206" w:rsidRDefault="00925F8D" w:rsidP="004722EF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proofErr w:type="spellStart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Spreekvaardigheid</w:t>
      </w:r>
      <w:proofErr w:type="spellEnd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.</w:t>
      </w:r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Aandacht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voor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de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uitspraak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Oefenvormen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: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precommunicatieve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en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co</w:t>
      </w:r>
      <w:r w:rsidR="00FB207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m</w:t>
      </w:r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municatieve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oefeningen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Didactische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werkvormen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Toetsen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en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beoordelen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van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spreekvaardigheid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.</w:t>
      </w:r>
    </w:p>
    <w:p w:rsidR="006D2251" w:rsidRDefault="00925F8D" w:rsidP="004722EF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proofErr w:type="spellStart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Schrijfvaardigheid</w:t>
      </w:r>
      <w:proofErr w:type="spellEnd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.</w:t>
      </w:r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Fasen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in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de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ontwikkeling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oefenvormen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en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didactische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werkvormen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Het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corrigeren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van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geschreven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teksten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en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het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toetsen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van </w:t>
      </w:r>
      <w:proofErr w:type="spellStart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schrijfvaardigheid</w:t>
      </w:r>
      <w:proofErr w:type="spellEnd"/>
      <w:r w:rsidRP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.</w:t>
      </w:r>
    </w:p>
    <w:p w:rsidR="00315CA0" w:rsidRPr="00315CA0" w:rsidRDefault="00315CA0" w:rsidP="004722EF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Toetsing</w:t>
      </w:r>
      <w:proofErr w:type="spellEnd"/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evaluatie</w:t>
      </w:r>
      <w:proofErr w:type="spellEnd"/>
      <w:r w:rsidRPr="00315CA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De </w:t>
      </w:r>
      <w:proofErr w:type="spellStart"/>
      <w:r w:rsidRPr="00315CA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functie</w:t>
      </w:r>
      <w:proofErr w:type="spellEnd"/>
      <w:r w:rsidRPr="00315CA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van </w:t>
      </w:r>
      <w:proofErr w:type="spellStart"/>
      <w:r w:rsidRPr="00315CA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toet</w:t>
      </w:r>
      <w:r w:rsidR="00676EE7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s</w:t>
      </w:r>
      <w:r w:rsidRPr="00315CA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ing</w:t>
      </w:r>
      <w:proofErr w:type="spellEnd"/>
      <w:r w:rsidRPr="00315CA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De </w:t>
      </w:r>
      <w:proofErr w:type="spellStart"/>
      <w:r w:rsidRPr="00315CA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eisen</w:t>
      </w:r>
      <w:proofErr w:type="spellEnd"/>
      <w:r w:rsidRPr="00315CA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315CA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aan</w:t>
      </w:r>
      <w:proofErr w:type="spellEnd"/>
      <w:r w:rsidRPr="00315CA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315CA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toetsen</w:t>
      </w:r>
      <w:proofErr w:type="spellEnd"/>
      <w:r w:rsidRPr="00315CA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="00F91B5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Gevaren</w:t>
      </w:r>
      <w:proofErr w:type="spellEnd"/>
      <w:r w:rsidR="00F91B5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F91B5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bij</w:t>
      </w:r>
      <w:proofErr w:type="spellEnd"/>
      <w:r w:rsidR="00F91B5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F91B5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toetsing</w:t>
      </w:r>
      <w:proofErr w:type="spellEnd"/>
      <w:r w:rsidR="00F91B5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="00F91B5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Toetsvormen</w:t>
      </w:r>
      <w:proofErr w:type="spellEnd"/>
      <w:r w:rsidR="00F91B5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F91B5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bij</w:t>
      </w:r>
      <w:proofErr w:type="spellEnd"/>
      <w:r w:rsidR="00F91B5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de </w:t>
      </w:r>
      <w:proofErr w:type="spellStart"/>
      <w:r w:rsidR="00F91B5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verschillende</w:t>
      </w:r>
      <w:proofErr w:type="spellEnd"/>
      <w:r w:rsidR="00F91B5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F91B5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taalvaardigheden</w:t>
      </w:r>
      <w:proofErr w:type="spellEnd"/>
      <w:r w:rsidR="00F91B50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.</w:t>
      </w:r>
    </w:p>
    <w:p w:rsidR="006D2251" w:rsidRDefault="00315CA0" w:rsidP="004722EF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proofErr w:type="spellStart"/>
      <w:r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Taal</w:t>
      </w:r>
      <w:proofErr w:type="spellEnd"/>
      <w:r w:rsidR="00DC1206"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 xml:space="preserve"> en </w:t>
      </w:r>
      <w:proofErr w:type="spellStart"/>
      <w:r w:rsidR="00DC1206"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cultuur</w:t>
      </w:r>
      <w:proofErr w:type="spellEnd"/>
      <w:r w:rsidR="00DC1206" w:rsidRPr="00315CA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t>.</w:t>
      </w:r>
      <w:r w:rsid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De </w:t>
      </w:r>
      <w:proofErr w:type="spellStart"/>
      <w:r w:rsid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interculturele</w:t>
      </w:r>
      <w:proofErr w:type="spellEnd"/>
      <w:r w:rsid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competentie</w:t>
      </w:r>
      <w:proofErr w:type="spellEnd"/>
      <w:r w:rsidR="00DC1206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FB207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Kennis</w:t>
      </w:r>
      <w:proofErr w:type="spellEnd"/>
      <w:r w:rsidR="00FB207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="00FB207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land</w:t>
      </w:r>
      <w:proofErr w:type="spellEnd"/>
      <w:r w:rsidR="00FB207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en </w:t>
      </w:r>
      <w:proofErr w:type="spellStart"/>
      <w:r w:rsidR="00FB207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volk</w:t>
      </w:r>
      <w:proofErr w:type="spellEnd"/>
      <w:r w:rsidR="00FB207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</w:t>
      </w:r>
      <w:proofErr w:type="spellStart"/>
      <w:r w:rsidR="00FB2079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literatuur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</w:p>
    <w:p w:rsidR="00FB2079" w:rsidRPr="00DC1206" w:rsidRDefault="00FB2079" w:rsidP="00FB2079">
      <w:pPr>
        <w:pStyle w:val="Listaszerbekezds"/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</w:p>
    <w:p w:rsidR="00226EDB" w:rsidRDefault="00A57943" w:rsidP="006D2251"/>
    <w:p w:rsidR="00123098" w:rsidRDefault="00F91B50" w:rsidP="006D2251">
      <w:pPr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</w:pPr>
      <w:proofErr w:type="spellStart"/>
      <w:r w:rsidRPr="00F91B50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hu-HU"/>
        </w:rPr>
        <w:lastRenderedPageBreak/>
        <w:t>Literatuur</w:t>
      </w:r>
      <w:proofErr w:type="spellEnd"/>
    </w:p>
    <w:p w:rsidR="00745C12" w:rsidRDefault="00745C12" w:rsidP="006D2251">
      <w:pP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proofErr w:type="spellStart"/>
      <w:r w:rsidRPr="00745C12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Bossers</w:t>
      </w:r>
      <w:proofErr w:type="spellEnd"/>
      <w:r w:rsidRPr="00745C12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Bart, </w:t>
      </w:r>
      <w:proofErr w:type="spellStart"/>
      <w:r w:rsidRPr="00745C12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ed</w:t>
      </w:r>
      <w:proofErr w:type="spellEnd"/>
      <w:r w:rsidRPr="00745C12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Handboek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Nederlands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als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tweede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taal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in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het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volwassenonderwijs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.</w:t>
      </w:r>
      <w:r w:rsidRPr="00745C12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Bussum</w:t>
      </w:r>
      <w:proofErr w:type="spellEnd"/>
      <w:r w:rsidRPr="00745C12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: </w:t>
      </w:r>
      <w:proofErr w:type="spellStart"/>
      <w:r w:rsidRPr="00745C12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Coutinho</w:t>
      </w:r>
      <w:proofErr w:type="spellEnd"/>
      <w:r w:rsidRPr="00745C12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, 2015.</w:t>
      </w:r>
    </w:p>
    <w:p w:rsidR="00745C12" w:rsidRDefault="00745C12" w:rsidP="006D2251">
      <w:pP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Kwakernaak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Erik.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Didactiek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van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het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vreemdetalenonderwijs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Bussum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Coutinho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, 2013</w:t>
      </w:r>
      <w:r w:rsidRPr="00745C12"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.</w:t>
      </w:r>
    </w:p>
    <w:p w:rsidR="00745C12" w:rsidRDefault="00745C12" w:rsidP="006D2251">
      <w:pP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Hulstijn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Jan,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ed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Nederlands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als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tweede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taal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in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de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volwasseneneducatie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Utrecht/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Zutphen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ThiemeMeulenhof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, 1996.</w:t>
      </w:r>
    </w:p>
    <w:p w:rsidR="00745C12" w:rsidRDefault="00745C12" w:rsidP="006D2251">
      <w:pP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Olijhoek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Vita en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Valk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Anja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Praktisch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didactisch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.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Adviezen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voor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de NT2-docent.</w:t>
      </w:r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Bussum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Coutinho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, 2018.</w:t>
      </w:r>
    </w:p>
    <w:p w:rsidR="00745C12" w:rsidRDefault="00745C12" w:rsidP="006D2251">
      <w:pP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Voort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P.J. </w:t>
      </w:r>
      <w:proofErr w:type="gram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van</w:t>
      </w:r>
      <w:proofErr w:type="gram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der en Mol, H.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Basisdidactiek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voor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het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onderwijs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in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de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moderne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vreemde</w:t>
      </w:r>
      <w:proofErr w:type="spellEnd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745C12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talen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Groningen: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Wolters-Noordhoff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, 1989.</w:t>
      </w:r>
    </w:p>
    <w:p w:rsidR="004722EF" w:rsidRDefault="004722EF" w:rsidP="006D2251">
      <w:pP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Geerlings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Titus en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Veen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Tjipke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van der. </w:t>
      </w:r>
      <w:proofErr w:type="spellStart"/>
      <w:r w:rsidRPr="004722EF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Lesgeven</w:t>
      </w:r>
      <w:proofErr w:type="spellEnd"/>
      <w:r w:rsidRPr="004722EF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en </w:t>
      </w:r>
      <w:proofErr w:type="spellStart"/>
      <w:r w:rsidRPr="004722EF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zelfstandig</w:t>
      </w:r>
      <w:proofErr w:type="spellEnd"/>
      <w:r w:rsidRPr="004722EF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 xml:space="preserve"> </w:t>
      </w:r>
      <w:proofErr w:type="spellStart"/>
      <w:r w:rsidRPr="004722EF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leren</w:t>
      </w:r>
      <w:proofErr w:type="spellEnd"/>
      <w:r w:rsidRPr="004722EF">
        <w:rPr>
          <w:rFonts w:ascii="Times New Roman" w:eastAsia="Times New Roman" w:hAnsi="Times New Roman" w:cs="Times New Roman"/>
          <w:i/>
          <w:color w:val="262B33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Assen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: Van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Gorcum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, 2002.</w:t>
      </w:r>
    </w:p>
    <w:p w:rsidR="00FB2079" w:rsidRPr="00745C12" w:rsidRDefault="00FB2079" w:rsidP="006D2251">
      <w:pP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</w:p>
    <w:p w:rsidR="00123098" w:rsidRDefault="00123098" w:rsidP="00FB2079">
      <w:pPr>
        <w:spacing w:after="0" w:line="36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wablieft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klant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tekstadvies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boeken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hu-HU"/>
        </w:rPr>
        <w:t>.</w:t>
      </w:r>
    </w:p>
    <w:p w:rsidR="00123098" w:rsidRDefault="00A57943" w:rsidP="00FB2079">
      <w:pPr>
        <w:spacing w:after="0" w:line="360" w:lineRule="auto"/>
      </w:pPr>
      <w:hyperlink r:id="rId6" w:history="1">
        <w:r w:rsidR="00123098" w:rsidRPr="00292837">
          <w:rPr>
            <w:rStyle w:val="Hiperhivatkozs"/>
          </w:rPr>
          <w:t>http://www.wablieft.be/nl</w:t>
        </w:r>
      </w:hyperlink>
    </w:p>
    <w:p w:rsidR="00123098" w:rsidRDefault="00123098" w:rsidP="00FB2079">
      <w:pPr>
        <w:spacing w:after="0" w:line="360" w:lineRule="auto"/>
      </w:pPr>
      <w:r>
        <w:t xml:space="preserve">LES. </w:t>
      </w:r>
      <w:proofErr w:type="spellStart"/>
      <w:r>
        <w:t>Tijdschrift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Nt2 en </w:t>
      </w:r>
      <w:proofErr w:type="spellStart"/>
      <w:r>
        <w:t>taal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onderwijs</w:t>
      </w:r>
      <w:proofErr w:type="spellEnd"/>
    </w:p>
    <w:p w:rsidR="00123098" w:rsidRDefault="00A57943" w:rsidP="00FB2079">
      <w:pPr>
        <w:spacing w:after="0" w:line="360" w:lineRule="auto"/>
      </w:pPr>
      <w:hyperlink r:id="rId7" w:history="1">
        <w:r w:rsidR="00123098" w:rsidRPr="00292837">
          <w:rPr>
            <w:rStyle w:val="Hiperhivatkozs"/>
          </w:rPr>
          <w:t>https://www.tijdschriftles.nl/</w:t>
        </w:r>
      </w:hyperlink>
    </w:p>
    <w:p w:rsidR="00123098" w:rsidRDefault="00123098" w:rsidP="00FB2079">
      <w:pPr>
        <w:spacing w:after="0" w:line="360" w:lineRule="auto"/>
      </w:pPr>
      <w:proofErr w:type="spellStart"/>
      <w:r>
        <w:t>Europees</w:t>
      </w:r>
      <w:proofErr w:type="spellEnd"/>
      <w:r>
        <w:t xml:space="preserve"> </w:t>
      </w:r>
      <w:proofErr w:type="spellStart"/>
      <w:r>
        <w:t>Referentiekader</w:t>
      </w:r>
      <w:proofErr w:type="spellEnd"/>
      <w:r>
        <w:t xml:space="preserve"> (ERK)</w:t>
      </w:r>
    </w:p>
    <w:p w:rsidR="00123098" w:rsidRDefault="00A57943" w:rsidP="00FB2079">
      <w:pPr>
        <w:spacing w:after="0" w:line="360" w:lineRule="auto"/>
      </w:pPr>
      <w:hyperlink r:id="rId8" w:history="1">
        <w:r w:rsidR="00123098" w:rsidRPr="00292837">
          <w:rPr>
            <w:rStyle w:val="Hiperhivatkozs"/>
          </w:rPr>
          <w:t>www.erk.nl</w:t>
        </w:r>
      </w:hyperlink>
    </w:p>
    <w:p w:rsidR="00123098" w:rsidRPr="00123098" w:rsidRDefault="00123098" w:rsidP="00FB2079">
      <w:pPr>
        <w:spacing w:after="0" w:line="360" w:lineRule="auto"/>
        <w:rPr>
          <w:color w:val="0000FF" w:themeColor="hyperlink"/>
          <w:u w:val="single"/>
        </w:rPr>
      </w:pPr>
      <w:proofErr w:type="gramStart"/>
      <w:r w:rsidRPr="00123098">
        <w:rPr>
          <w:rStyle w:val="Hiperhivatkozs"/>
        </w:rPr>
        <w:t>taalunieversum.org/inhoud/erk-nederlands</w:t>
      </w:r>
      <w:proofErr w:type="gramEnd"/>
    </w:p>
    <w:p w:rsidR="00123098" w:rsidRDefault="00123098" w:rsidP="00FB2079">
      <w:pPr>
        <w:spacing w:after="0" w:line="360" w:lineRule="auto"/>
      </w:pPr>
      <w:proofErr w:type="spellStart"/>
      <w:r>
        <w:t>Basisexamen</w:t>
      </w:r>
      <w:proofErr w:type="spellEnd"/>
      <w:r>
        <w:t xml:space="preserve"> </w:t>
      </w:r>
      <w:proofErr w:type="spellStart"/>
      <w:r>
        <w:t>Nederlands</w:t>
      </w:r>
      <w:proofErr w:type="spellEnd"/>
      <w:r>
        <w:t xml:space="preserve"> </w:t>
      </w:r>
    </w:p>
    <w:p w:rsidR="00123098" w:rsidRDefault="00A57943" w:rsidP="00FB2079">
      <w:pPr>
        <w:spacing w:after="0" w:line="360" w:lineRule="auto"/>
      </w:pPr>
      <w:hyperlink r:id="rId9" w:history="1">
        <w:r w:rsidR="00123098" w:rsidRPr="00292837">
          <w:rPr>
            <w:rStyle w:val="Hiperhivatkozs"/>
          </w:rPr>
          <w:t>www.naarnederland.nl</w:t>
        </w:r>
      </w:hyperlink>
    </w:p>
    <w:p w:rsidR="00123098" w:rsidRDefault="00123098" w:rsidP="00FB2079">
      <w:pPr>
        <w:spacing w:after="0" w:line="360" w:lineRule="auto"/>
      </w:pPr>
      <w:proofErr w:type="spellStart"/>
      <w:r>
        <w:t>Beroepsvereniging</w:t>
      </w:r>
      <w:proofErr w:type="spellEnd"/>
      <w:r>
        <w:t xml:space="preserve"> van </w:t>
      </w:r>
      <w:proofErr w:type="spellStart"/>
      <w:r>
        <w:t>docenten</w:t>
      </w:r>
      <w:proofErr w:type="spellEnd"/>
      <w:r>
        <w:t xml:space="preserve"> NT2 (BVNT2)</w:t>
      </w:r>
    </w:p>
    <w:p w:rsidR="00123098" w:rsidRDefault="00A57943" w:rsidP="00FB2079">
      <w:pPr>
        <w:spacing w:after="0" w:line="360" w:lineRule="auto"/>
      </w:pPr>
      <w:hyperlink r:id="rId10" w:history="1">
        <w:r w:rsidR="00123098" w:rsidRPr="00292837">
          <w:rPr>
            <w:rStyle w:val="Hiperhivatkozs"/>
          </w:rPr>
          <w:t>www.bvnt2.org</w:t>
        </w:r>
      </w:hyperlink>
    </w:p>
    <w:p w:rsidR="00F91B50" w:rsidRDefault="00123098" w:rsidP="00FB2079">
      <w:pPr>
        <w:spacing w:after="0" w:line="360" w:lineRule="auto"/>
      </w:pPr>
      <w:proofErr w:type="spellStart"/>
      <w:r>
        <w:t>CNaVT</w:t>
      </w:r>
      <w:proofErr w:type="spellEnd"/>
    </w:p>
    <w:p w:rsidR="00123098" w:rsidRDefault="00A57943" w:rsidP="00FB2079">
      <w:pPr>
        <w:spacing w:after="0" w:line="360" w:lineRule="auto"/>
      </w:pPr>
      <w:hyperlink r:id="rId11" w:history="1">
        <w:r w:rsidR="00123098" w:rsidRPr="00292837">
          <w:rPr>
            <w:rStyle w:val="Hiperhivatkozs"/>
          </w:rPr>
          <w:t>www.cnavt.org/main.asp</w:t>
        </w:r>
      </w:hyperlink>
    </w:p>
    <w:p w:rsidR="00123098" w:rsidRDefault="00123098" w:rsidP="00FB2079">
      <w:pPr>
        <w:spacing w:after="0" w:line="360" w:lineRule="auto"/>
      </w:pPr>
      <w:proofErr w:type="spellStart"/>
      <w:r>
        <w:t>Competentieprofiel</w:t>
      </w:r>
      <w:proofErr w:type="spellEnd"/>
      <w:r>
        <w:t xml:space="preserve"> NT2-docent</w:t>
      </w:r>
    </w:p>
    <w:p w:rsidR="00123098" w:rsidRDefault="00A57943" w:rsidP="00FB2079">
      <w:pPr>
        <w:spacing w:after="0" w:line="360" w:lineRule="auto"/>
      </w:pPr>
      <w:hyperlink r:id="rId12" w:history="1">
        <w:r w:rsidR="00123098" w:rsidRPr="00292837">
          <w:rPr>
            <w:rStyle w:val="Hiperhivatkozs"/>
          </w:rPr>
          <w:t>http://www.bvnt2.org/certificering-scholing</w:t>
        </w:r>
      </w:hyperlink>
    </w:p>
    <w:p w:rsidR="004722EF" w:rsidRDefault="00123098" w:rsidP="00FB2079">
      <w:pPr>
        <w:spacing w:after="0" w:line="360" w:lineRule="auto"/>
      </w:pPr>
      <w:proofErr w:type="spellStart"/>
      <w:r>
        <w:t>In</w:t>
      </w:r>
      <w:r w:rsidR="004722EF">
        <w:t>burgering</w:t>
      </w:r>
      <w:proofErr w:type="spellEnd"/>
      <w:r w:rsidR="004722EF">
        <w:t xml:space="preserve"> en </w:t>
      </w:r>
      <w:proofErr w:type="spellStart"/>
      <w:r w:rsidR="004722EF">
        <w:t>inburgeringsexamen</w:t>
      </w:r>
      <w:proofErr w:type="spellEnd"/>
      <w:r w:rsidR="004722EF">
        <w:t xml:space="preserve"> </w:t>
      </w:r>
    </w:p>
    <w:p w:rsidR="00123098" w:rsidRPr="006D2251" w:rsidRDefault="00A57943" w:rsidP="00FB2079">
      <w:pPr>
        <w:spacing w:after="0" w:line="360" w:lineRule="auto"/>
      </w:pPr>
      <w:hyperlink r:id="rId13" w:tgtFrame="_blank" w:history="1">
        <w:r w:rsidR="00123098">
          <w:rPr>
            <w:rStyle w:val="Hiperhivatkozs"/>
          </w:rPr>
          <w:t>www.inburgeren.nl/examen-doen.jsp</w:t>
        </w:r>
      </w:hyperlink>
    </w:p>
    <w:sectPr w:rsidR="00123098" w:rsidRPr="006D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altName w:val="Segoe UI Light"/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0491"/>
    <w:multiLevelType w:val="hybridMultilevel"/>
    <w:tmpl w:val="A4723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51"/>
    <w:rsid w:val="00070FA9"/>
    <w:rsid w:val="00123098"/>
    <w:rsid w:val="00315CA0"/>
    <w:rsid w:val="004722EF"/>
    <w:rsid w:val="005C7E7A"/>
    <w:rsid w:val="00676EE7"/>
    <w:rsid w:val="006D2251"/>
    <w:rsid w:val="00745C12"/>
    <w:rsid w:val="007D52EF"/>
    <w:rsid w:val="00925F8D"/>
    <w:rsid w:val="009647F8"/>
    <w:rsid w:val="00991B45"/>
    <w:rsid w:val="00A57943"/>
    <w:rsid w:val="00AA7B73"/>
    <w:rsid w:val="00B71655"/>
    <w:rsid w:val="00D24370"/>
    <w:rsid w:val="00DC1206"/>
    <w:rsid w:val="00E02EF6"/>
    <w:rsid w:val="00E26DAF"/>
    <w:rsid w:val="00F145D9"/>
    <w:rsid w:val="00F91B50"/>
    <w:rsid w:val="00F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22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309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C1206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C1206"/>
    <w:pPr>
      <w:ind w:left="720"/>
      <w:contextualSpacing/>
    </w:pPr>
  </w:style>
  <w:style w:type="paragraph" w:customStyle="1" w:styleId="Default">
    <w:name w:val="Default"/>
    <w:rsid w:val="00F91B50"/>
    <w:pPr>
      <w:autoSpaceDE w:val="0"/>
      <w:autoSpaceDN w:val="0"/>
      <w:adjustRightInd w:val="0"/>
      <w:spacing w:after="0" w:line="240" w:lineRule="auto"/>
    </w:pPr>
    <w:rPr>
      <w:rFonts w:ascii="Segoe UI Light" w:hAnsi="Segoe UI Light" w:cs="Segoe U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22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309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C1206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C1206"/>
    <w:pPr>
      <w:ind w:left="720"/>
      <w:contextualSpacing/>
    </w:pPr>
  </w:style>
  <w:style w:type="paragraph" w:customStyle="1" w:styleId="Default">
    <w:name w:val="Default"/>
    <w:rsid w:val="00F91B50"/>
    <w:pPr>
      <w:autoSpaceDE w:val="0"/>
      <w:autoSpaceDN w:val="0"/>
      <w:adjustRightInd w:val="0"/>
      <w:spacing w:after="0" w:line="240" w:lineRule="auto"/>
    </w:pPr>
    <w:rPr>
      <w:rFonts w:ascii="Segoe UI Light" w:hAnsi="Segoe UI Light" w:cs="Segoe U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k.nl" TargetMode="External"/><Relationship Id="rId13" Type="http://schemas.openxmlformats.org/officeDocument/2006/relationships/hyperlink" Target="http://www.inburgeren.nl/examen-doen.j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ijdschriftles.nl/" TargetMode="External"/><Relationship Id="rId12" Type="http://schemas.openxmlformats.org/officeDocument/2006/relationships/hyperlink" Target="http://www.bvnt2.org/certificering-scho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blieft.be/nl" TargetMode="External"/><Relationship Id="rId11" Type="http://schemas.openxmlformats.org/officeDocument/2006/relationships/hyperlink" Target="http://www.cnavt.org/main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vnt2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arnederland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Pöszke</dc:creator>
  <cp:lastModifiedBy>Pöszke</cp:lastModifiedBy>
  <cp:revision>2</cp:revision>
  <dcterms:created xsi:type="dcterms:W3CDTF">2020-03-13T10:41:00Z</dcterms:created>
  <dcterms:modified xsi:type="dcterms:W3CDTF">2020-03-13T10:41:00Z</dcterms:modified>
</cp:coreProperties>
</file>